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0"/>
          <w:szCs w:val="30"/>
        </w:rPr>
      </w:pPr>
      <w:r w:rsidDel="00000000" w:rsidR="00000000" w:rsidRPr="00000000">
        <w:rPr>
          <w:rFonts w:ascii="Arial Unicode MS" w:cs="Arial Unicode MS" w:eastAsia="Arial Unicode MS" w:hAnsi="Arial Unicode MS"/>
          <w:sz w:val="30"/>
          <w:szCs w:val="30"/>
          <w:rtl w:val="0"/>
        </w:rPr>
        <w:t xml:space="preserve">心得報告 評量尺規</w:t>
      </w:r>
    </w:p>
    <w:p w:rsidR="00000000" w:rsidDel="00000000" w:rsidP="00000000" w:rsidRDefault="00000000" w:rsidRPr="00000000" w14:paraId="00000002">
      <w:pPr>
        <w:shd w:fill="fafafa" w:val="clear"/>
        <w:ind w:left="0" w:right="300" w:firstLine="0"/>
        <w:rPr>
          <w:rFonts w:ascii="Roboto" w:cs="Roboto" w:eastAsia="Roboto" w:hAnsi="Roboto"/>
          <w:color w:val="3c3c3c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45.0" w:type="dxa"/>
        <w:jc w:val="left"/>
        <w:tblInd w:w="10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1875"/>
        <w:gridCol w:w="2205"/>
        <w:gridCol w:w="2055"/>
        <w:gridCol w:w="2055"/>
        <w:gridCol w:w="2055"/>
        <w:tblGridChange w:id="0">
          <w:tblGrid>
            <w:gridCol w:w="1875"/>
            <w:gridCol w:w="2205"/>
            <w:gridCol w:w="2055"/>
            <w:gridCol w:w="2055"/>
            <w:gridCol w:w="2055"/>
          </w:tblGrid>
        </w:tblGridChange>
      </w:tblGrid>
      <w:tr>
        <w:trPr>
          <w:trHeight w:val="524.8876953125001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極好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好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待改進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極待改進</w:t>
            </w:r>
          </w:p>
        </w:tc>
      </w:tr>
      <w:tr>
        <w:trPr>
          <w:trHeight w:val="2093.5668945312495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內容（20分）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內容與主題直接相關，細節發展完整，展現報告者對該主題的詳細知識。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內容與主題相關，包括許多細節。這些細節證明報告者對該主題的了解。觀點大致上都有事實根據。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內容與主題難以連結，大部分的觀點都難有事實根據。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內容與主題幾乎無關，細節和觀點幾乎都沒有事實根據。</w:t>
            </w:r>
          </w:p>
        </w:tc>
      </w:tr>
      <w:tr>
        <w:trPr>
          <w:trHeight w:val="1245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主題（20分）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報告者能確實掌握主題，能夠準確的回答聽眾的問題，而不離題。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報告者大致上掌握主題，當報告內容偏離主題時，會試著回到主題。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報告者有些內容偏離主題，有時使用與主題不相關的素材填塞報告。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過半的報告內容都沒有和主題有相關聯。</w:t>
            </w:r>
          </w:p>
        </w:tc>
      </w:tr>
      <w:tr>
        <w:trPr>
          <w:trHeight w:val="1672.3876953124998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口語表達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（20分）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報告音量適中，並且適時擅用不同的音量、語調，口齒清晰，易於理解。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報告大致上音量適當，語調、發音大致清晰，少數有口齒不清的狀況。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報告聲音過小，被糾正過後有些微改進，語調幾乎沒有變化。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報告幾乎聽不到聲音，被糾正過後也沒有變化。語調沒有任何變化，不留意口語表達的準確。</w:t>
            </w:r>
          </w:p>
        </w:tc>
      </w:tr>
      <w:tr>
        <w:trPr>
          <w:trHeight w:val="1891.8652343749998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觀眾（20分）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能根據觀眾的回饋，給予適當的回答。具有能力冷靜且流利的闡述觀眾的問題及評論。讓觀眾投入整場報告中。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能多次調整報告音量、速度、以及活絡度。能夠回答觀眾的問題以及評論。能調整報告的讓觀眾專注於報告。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能調整講話音量，配合觀眾的要求。報告者看起來不自在，但仍試圖調整報告氛圍，讓觀眾能夠專注。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無法根據觀眾的反應，調整表達方式。沒辦法回答觀眾的問題，也無法有效地抓住觀眾的興趣。</w:t>
            </w:r>
          </w:p>
        </w:tc>
      </w:tr>
      <w:tr>
        <w:trPr>
          <w:trHeight w:val="258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肢體動作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（20分）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抬頭挺胸，充分展現自信。沒有明顯表現緊張的動作，能和觀眾有持續眼神交流。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大部分的體語言良好，大部分時間和觀眾有眼神交流，沒有一直依照小抄或其他輔助。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有時候會有明顯緊張不自在的行為，偶而會和些許觀眾眼神交流，沒有過度依照小抄會其他輔助。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肢體表達動作亟待加強，行為明顯不自在。幾乎無法與觀眾產生眼神交流，非常依賴小抄以及其他輔助。</w:t>
            </w:r>
          </w:p>
        </w:tc>
      </w:tr>
    </w:tbl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